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Контрольно-счетная комиссия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Богородского муниципального округа Нижегородской области</w:t>
      </w:r>
    </w:p>
    <w:p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Заключение</w:t>
      </w:r>
    </w:p>
    <w:p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проект решения 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«О бюджете Богородского муниципального округа Нижегородской области на 2026 год и на плановый период 2027 и 2028 годов»»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>
      <w:pPr>
        <w:shd w:val="clear" w:color="auto" w:fill="FFFFFF"/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Контрольно-счетной комиссией Богородского муниципального округа в соответствии с Бюджетным кодексом РФ, Федеральным законом </w:t>
      </w:r>
      <w:r>
        <w:rPr>
          <w:rFonts w:ascii="Times New Roman" w:hAnsi="Times New Roman"/>
          <w:color w:val="000000"/>
          <w:sz w:val="26"/>
          <w:szCs w:val="26"/>
        </w:rPr>
        <w:t xml:space="preserve">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>
        <w:rPr>
          <w:rFonts w:ascii="Times New Roman" w:hAnsi="Times New Roman"/>
          <w:sz w:val="26"/>
          <w:szCs w:val="26"/>
        </w:rPr>
        <w:t>решением Совета депутатов Богородского муниципального округа Нижегородской области</w:t>
      </w:r>
      <w:r>
        <w:rPr>
          <w:rFonts w:ascii="Times New Roman" w:hAnsi="Times New Roman"/>
          <w:color w:val="000000"/>
          <w:sz w:val="26"/>
          <w:szCs w:val="26"/>
        </w:rPr>
        <w:t xml:space="preserve"> от 09.10.2020 № 26 «</w:t>
      </w:r>
      <w:r>
        <w:rPr>
          <w:rFonts w:ascii="Times New Roman" w:hAnsi="Times New Roman"/>
          <w:bCs/>
          <w:sz w:val="26"/>
          <w:szCs w:val="26"/>
        </w:rPr>
        <w:t>Об утверждении Положения о бюджетном процессе в Богородском муниципальном округе Нижегородской области»,</w:t>
      </w:r>
      <w:r>
        <w:rPr>
          <w:rFonts w:ascii="Times New Roman" w:hAnsi="Times New Roman"/>
          <w:sz w:val="26"/>
          <w:szCs w:val="26"/>
        </w:rPr>
        <w:t xml:space="preserve"> Положением о контрольно-счетной комиссии Богородского муниципального округа Нижегородской области, утвержденным решением Совета депутатов Богородского муниципального округа Нижегородской области от 16.12.2021 № 203 проведена экспертиза проекта решения 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</w:t>
      </w:r>
      <w:r>
        <w:rPr>
          <w:rFonts w:ascii="Times New Roman" w:hAnsi="Times New Roman"/>
          <w:color w:val="000000"/>
          <w:sz w:val="26"/>
          <w:szCs w:val="26"/>
        </w:rPr>
        <w:t>О бюджете Богородского муниципального округа Нижегородской области на 2026 год и на плановый период 2027 и 2028 годов</w:t>
      </w:r>
      <w:r>
        <w:rPr>
          <w:rFonts w:ascii="Times New Roman" w:hAnsi="Times New Roman"/>
          <w:sz w:val="26"/>
          <w:szCs w:val="26"/>
        </w:rPr>
        <w:t>»» (далее – проект решения).</w:t>
      </w:r>
    </w:p>
    <w:p>
      <w:pPr>
        <w:pStyle w:val="188"/>
        <w:numPr>
          <w:ilvl w:val="0"/>
          <w:numId w:val="1"/>
        </w:numPr>
        <w:shd w:val="clear" w:color="auto" w:fill="FFFFFF"/>
        <w:spacing w:line="240" w:lineRule="auto"/>
        <w:ind w:left="0" w:firstLin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Изменения основных характеристик бюджета Богородского муниципального округа Нижегородской области на 2026 год и на плановый период 2027 и 2028 годов.</w:t>
      </w:r>
    </w:p>
    <w:p>
      <w:pPr>
        <w:pStyle w:val="188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Согласно материалам к проекту решения в основные характеристики местного бюджета на 2026 год и плановый период 2027 и 2028 годов, утвержденные решением Совета депутатов Богородского муниципального округа Нижегородской области от 11.12.2025 № 148 «</w:t>
      </w:r>
      <w:r>
        <w:rPr>
          <w:rFonts w:ascii="Times New Roman" w:hAnsi="Times New Roman"/>
          <w:color w:val="000000"/>
          <w:sz w:val="26"/>
          <w:szCs w:val="26"/>
        </w:rPr>
        <w:t>О бюджете Богородского муниципального округа Нижегородской области на 2026 год и на плановый период 2027 и 2028 годов</w:t>
      </w:r>
      <w:r>
        <w:rPr>
          <w:rFonts w:ascii="Times New Roman" w:hAnsi="Times New Roman"/>
          <w:sz w:val="26"/>
          <w:szCs w:val="26"/>
        </w:rPr>
        <w:t>» (далее – решение от 11.12.2025 № 148), предлагается внести следующие изменения:</w:t>
      </w:r>
    </w:p>
    <w:p>
      <w:pPr>
        <w:pStyle w:val="188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тыс. рублей</w:t>
      </w:r>
    </w:p>
    <w:tbl>
      <w:tblPr>
        <w:tblStyle w:val="2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2268"/>
        <w:gridCol w:w="1376"/>
        <w:gridCol w:w="1884"/>
        <w:gridCol w:w="11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53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решения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к утвержденному решению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изменения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2026 год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0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3692 798,18 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3702 627,98 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9 829,80 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0,3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3752 798,18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3893 580,93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140 782,75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3,8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Дефицит (-), профицит (+)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-60 000,00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-190 952,95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-130 952,95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218,3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>202</w:t>
            </w: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год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3373 333,30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3373 333,42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0,12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3353 333,30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3353 333,42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0,12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Дефицит (+), профицит (-)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>202</w:t>
            </w: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год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3516 678,30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3516 678,39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0,09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3496 678,30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3496 678,39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0,09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Дефицит (-), профицит (+)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</w:tbl>
    <w:p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>
      <w:pPr>
        <w:pStyle w:val="188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6"/>
          <w:szCs w:val="26"/>
        </w:rPr>
        <w:t>Основные изменения доходов бюджета Богородского муниципального округа Нижегородской области.</w:t>
      </w:r>
    </w:p>
    <w:p>
      <w:pPr>
        <w:pStyle w:val="188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>тыс. рублей</w:t>
      </w:r>
    </w:p>
    <w:tbl>
      <w:tblPr>
        <w:tblStyle w:val="3"/>
        <w:tblpPr w:leftFromText="180" w:rightFromText="180" w:vertAnchor="text" w:horzAnchor="page" w:tblpX="1692" w:tblpY="24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2150"/>
        <w:gridCol w:w="1468"/>
        <w:gridCol w:w="1877"/>
        <w:gridCol w:w="11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636" w:type="dxa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50" w:type="dxa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53</w:t>
            </w:r>
          </w:p>
        </w:tc>
        <w:tc>
          <w:tcPr>
            <w:tcW w:w="1468" w:type="dxa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решения</w:t>
            </w:r>
          </w:p>
        </w:tc>
        <w:tc>
          <w:tcPr>
            <w:tcW w:w="1877" w:type="dxa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к утверждённому решению</w:t>
            </w:r>
          </w:p>
        </w:tc>
        <w:tc>
          <w:tcPr>
            <w:tcW w:w="1172" w:type="dxa"/>
            <w:noWrap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изменения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636" w:type="dxa"/>
            <w:noWrap/>
          </w:tcPr>
          <w:p>
            <w:pPr>
              <w:pStyle w:val="18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15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1315 890,50 </w:t>
            </w:r>
          </w:p>
        </w:tc>
        <w:tc>
          <w:tcPr>
            <w:tcW w:w="146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1315 890,50 </w:t>
            </w:r>
          </w:p>
        </w:tc>
        <w:tc>
          <w:tcPr>
            <w:tcW w:w="1877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72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noWrap/>
          </w:tcPr>
          <w:p>
            <w:pPr>
              <w:pStyle w:val="18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15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2376 907,68 </w:t>
            </w:r>
          </w:p>
        </w:tc>
        <w:tc>
          <w:tcPr>
            <w:tcW w:w="146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2386 737,48 </w:t>
            </w:r>
          </w:p>
        </w:tc>
        <w:tc>
          <w:tcPr>
            <w:tcW w:w="1877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9 829,80 </w:t>
            </w:r>
          </w:p>
        </w:tc>
        <w:tc>
          <w:tcPr>
            <w:tcW w:w="1172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0,41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noWrap/>
          </w:tcPr>
          <w:p>
            <w:pPr>
              <w:pStyle w:val="18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215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3692 798,18 </w:t>
            </w:r>
          </w:p>
        </w:tc>
        <w:tc>
          <w:tcPr>
            <w:tcW w:w="146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3702 627,98 </w:t>
            </w:r>
          </w:p>
        </w:tc>
        <w:tc>
          <w:tcPr>
            <w:tcW w:w="1877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9 829,80 </w:t>
            </w:r>
          </w:p>
        </w:tc>
        <w:tc>
          <w:tcPr>
            <w:tcW w:w="1172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0,41 </w:t>
            </w:r>
          </w:p>
        </w:tc>
      </w:tr>
    </w:tbl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Согласно пояснительной записке к проекту решения изменение доходов осуществляется за счет безвозмездных поступлений из областного и федерального бюджетов.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В 2026 году доходная часть бюджета увеличивается на </w:t>
      </w:r>
      <w:r>
        <w:rPr>
          <w:rFonts w:hint="default" w:ascii="Times New Roman" w:hAnsi="Times New Roman"/>
          <w:sz w:val="26"/>
          <w:szCs w:val="26"/>
          <w:lang w:val="ru-RU"/>
        </w:rPr>
        <w:t>16 813,61</w:t>
      </w:r>
      <w:r>
        <w:rPr>
          <w:rFonts w:ascii="Times New Roman" w:hAnsi="Times New Roman"/>
          <w:sz w:val="26"/>
          <w:szCs w:val="26"/>
        </w:rPr>
        <w:t xml:space="preserve">тыс. рублей за счет увеличения следующих доходов: </w:t>
      </w:r>
    </w:p>
    <w:p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Инициативных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платежей, зачисляемые в бюджеты муниципальны округов в сумме 979,52 тыс.рублей. </w:t>
      </w:r>
    </w:p>
    <w:p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Субсидий из областного бюджет</w:t>
      </w:r>
      <w:r>
        <w:rPr>
          <w:rFonts w:ascii="Times New Roman" w:hAnsi="Times New Roman"/>
          <w:sz w:val="26"/>
          <w:szCs w:val="26"/>
          <w:lang w:val="ru-RU"/>
        </w:rPr>
        <w:t>а</w:t>
      </w:r>
      <w:r>
        <w:rPr>
          <w:rFonts w:ascii="Times New Roman" w:hAnsi="Times New Roman"/>
          <w:sz w:val="26"/>
          <w:szCs w:val="26"/>
        </w:rPr>
        <w:t>:</w:t>
      </w:r>
    </w:p>
    <w:p>
      <w:pPr>
        <w:pStyle w:val="188"/>
        <w:shd w:val="clear" w:color="auto" w:fill="FFFFFF"/>
        <w:spacing w:after="0" w:line="240" w:lineRule="auto"/>
        <w:ind w:left="0" w:firstLine="657" w:firstLineChars="253"/>
        <w:jc w:val="both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  <w:lang w:val="ru-RU"/>
        </w:rPr>
        <w:t>развитие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сети  учреждений культурно-досугового типа в сумме 0,04 тыс.рублей;</w:t>
      </w:r>
    </w:p>
    <w:p>
      <w:pPr>
        <w:pStyle w:val="188"/>
        <w:shd w:val="clear" w:color="auto" w:fill="FFFFFF"/>
        <w:spacing w:after="0" w:line="240" w:lineRule="auto"/>
        <w:ind w:left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прочие субсидии бюджетам муниципальных округов в сумме </w:t>
      </w:r>
      <w:r>
        <w:rPr>
          <w:rFonts w:hint="default" w:ascii="Times New Roman" w:hAnsi="Times New Roman"/>
          <w:sz w:val="26"/>
          <w:szCs w:val="26"/>
          <w:lang w:val="ru-RU"/>
        </w:rPr>
        <w:t>0,01</w:t>
      </w:r>
      <w:r>
        <w:rPr>
          <w:rFonts w:ascii="Times New Roman" w:hAnsi="Times New Roman"/>
          <w:sz w:val="26"/>
          <w:szCs w:val="26"/>
        </w:rPr>
        <w:t xml:space="preserve"> тыс. рублей. </w:t>
      </w:r>
    </w:p>
    <w:p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Субвенций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бюджетам муниципальных округов на выполнение передаваемых полномочий субъектов Российской Федерации в сумме 0,02 тыс.рублей.</w:t>
      </w:r>
    </w:p>
    <w:p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М</w:t>
      </w:r>
      <w:r>
        <w:rPr>
          <w:rFonts w:ascii="Times New Roman" w:hAnsi="Times New Roman"/>
          <w:sz w:val="26"/>
          <w:szCs w:val="26"/>
        </w:rPr>
        <w:t>ежбюджетных трансфертов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, передаваемых бюджетам муниципальных округов </w:t>
      </w:r>
      <w:r>
        <w:rPr>
          <w:rFonts w:ascii="Times New Roman" w:hAnsi="Times New Roman"/>
          <w:sz w:val="26"/>
          <w:szCs w:val="26"/>
        </w:rPr>
        <w:t xml:space="preserve"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сумме </w:t>
      </w:r>
      <w:r>
        <w:rPr>
          <w:rFonts w:hint="default" w:ascii="Times New Roman" w:hAnsi="Times New Roman"/>
          <w:sz w:val="26"/>
          <w:szCs w:val="26"/>
          <w:lang w:val="ru-RU"/>
        </w:rPr>
        <w:t>0,02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Прочих безвозмездных поступлений в сумме </w:t>
      </w:r>
      <w:r>
        <w:rPr>
          <w:rFonts w:hint="default" w:ascii="Times New Roman" w:hAnsi="Times New Roman"/>
          <w:sz w:val="26"/>
          <w:szCs w:val="26"/>
          <w:lang w:val="ru-RU"/>
        </w:rPr>
        <w:t>2 334,00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Прочих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безвозмездных поступлений в бюджеты муниципальных округов в сумме 13 500,00 тыс.рублей.</w:t>
      </w:r>
    </w:p>
    <w:p>
      <w:pPr>
        <w:pStyle w:val="188"/>
        <w:shd w:val="clear" w:color="auto" w:fill="FFFFFF"/>
        <w:spacing w:after="0" w:line="240" w:lineRule="auto"/>
        <w:ind w:left="660"/>
        <w:jc w:val="both"/>
        <w:rPr>
          <w:rFonts w:ascii="Times New Roman" w:hAnsi="Times New Roman"/>
          <w:sz w:val="26"/>
          <w:szCs w:val="26"/>
        </w:rPr>
      </w:pPr>
    </w:p>
    <w:p>
      <w:pPr>
        <w:pStyle w:val="188"/>
        <w:shd w:val="clear" w:color="auto" w:fill="FFFFFF"/>
        <w:spacing w:after="0" w:line="240" w:lineRule="auto"/>
        <w:ind w:left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Уменьшение доходной части осуществляется в сумме </w:t>
      </w:r>
      <w:r>
        <w:rPr>
          <w:rFonts w:hint="default" w:ascii="Times New Roman" w:hAnsi="Times New Roman"/>
          <w:sz w:val="26"/>
          <w:szCs w:val="26"/>
          <w:lang w:val="ru-RU"/>
        </w:rPr>
        <w:t>6 983,81</w:t>
      </w:r>
      <w:r>
        <w:rPr>
          <w:rFonts w:ascii="Times New Roman" w:hAnsi="Times New Roman"/>
          <w:sz w:val="26"/>
          <w:szCs w:val="26"/>
        </w:rPr>
        <w:t xml:space="preserve"> тыс. рублей за счет сокращения следующих доходов: </w:t>
      </w:r>
    </w:p>
    <w:p>
      <w:pPr>
        <w:pStyle w:val="188"/>
        <w:numPr>
          <w:ilvl w:val="0"/>
          <w:numId w:val="4"/>
        </w:numPr>
        <w:shd w:val="clear" w:color="auto" w:fill="FFFFFF"/>
        <w:spacing w:after="0" w:line="240" w:lineRule="auto"/>
        <w:ind w:left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Государственной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пошлины по делам рассматриваемых в судах общей юрисдикции, мировыми судьями в сумме 979,52 тыс.рублей.</w:t>
      </w:r>
    </w:p>
    <w:p>
      <w:pPr>
        <w:pStyle w:val="188"/>
        <w:numPr>
          <w:ilvl w:val="0"/>
          <w:numId w:val="4"/>
        </w:numPr>
        <w:shd w:val="clear" w:color="auto" w:fill="FFFFFF"/>
        <w:spacing w:after="0" w:line="240" w:lineRule="auto"/>
        <w:ind w:left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Субсиди</w:t>
      </w:r>
      <w:r>
        <w:rPr>
          <w:rFonts w:ascii="Times New Roman" w:hAnsi="Times New Roman"/>
          <w:sz w:val="26"/>
          <w:szCs w:val="26"/>
          <w:lang w:val="ru-RU"/>
        </w:rPr>
        <w:t>й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бюджетам муниципальных округов:</w:t>
      </w:r>
    </w:p>
    <w:p>
      <w:pPr>
        <w:pStyle w:val="188"/>
        <w:shd w:val="clear" w:color="auto" w:fill="FFFFFF"/>
        <w:spacing w:after="0" w:line="240" w:lineRule="auto"/>
        <w:ind w:left="0" w:firstLine="658"/>
        <w:jc w:val="both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  <w:lang w:val="ru-RU"/>
        </w:rPr>
        <w:t>на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софинансирование капитальных вложений в объекты муниципальной собственности в сумме 0,02 тыс.рублей; </w:t>
      </w:r>
    </w:p>
    <w:p>
      <w:pPr>
        <w:pStyle w:val="188"/>
        <w:shd w:val="clear" w:color="auto" w:fill="FFFFFF"/>
        <w:spacing w:after="0" w:line="240" w:lineRule="auto"/>
        <w:ind w:left="0" w:firstLine="658"/>
        <w:jc w:val="both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-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в сумме 0,08 тыс.рублей;</w:t>
      </w:r>
    </w:p>
    <w:p>
      <w:pPr>
        <w:pStyle w:val="188"/>
        <w:shd w:val="clear" w:color="auto" w:fill="FFFFFF"/>
        <w:spacing w:after="0" w:line="240" w:lineRule="auto"/>
        <w:ind w:left="0" w:firstLine="658"/>
        <w:jc w:val="both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- на поддержку отрасли культуры в сумме 0,03 тыс.рублей;</w:t>
      </w:r>
    </w:p>
    <w:p>
      <w:pPr>
        <w:pStyle w:val="188"/>
        <w:shd w:val="clear" w:color="auto" w:fill="FFFFFF"/>
        <w:spacing w:after="0" w:line="240" w:lineRule="auto"/>
        <w:ind w:left="0" w:firstLine="658"/>
        <w:jc w:val="both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на реализацию </w:t>
      </w:r>
      <w:r>
        <w:rPr>
          <w:rFonts w:ascii="Times New Roman" w:hAnsi="Times New Roman"/>
          <w:sz w:val="26"/>
          <w:szCs w:val="26"/>
          <w:lang w:val="ru-RU"/>
        </w:rPr>
        <w:t>программ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формирования современной городской среды в сумме 0,04 тыс.рублей;</w:t>
      </w:r>
    </w:p>
    <w:p>
      <w:pPr>
        <w:pStyle w:val="188"/>
        <w:shd w:val="clear" w:color="auto" w:fill="FFFFFF"/>
        <w:spacing w:after="0" w:line="240" w:lineRule="auto"/>
        <w:ind w:left="0" w:firstLine="658"/>
        <w:jc w:val="both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- на обеспечение комплексного развития сельских территорий в сумме 0,04 тыс.рублей.</w:t>
      </w:r>
    </w:p>
    <w:p>
      <w:pPr>
        <w:pStyle w:val="188"/>
        <w:numPr>
          <w:ilvl w:val="0"/>
          <w:numId w:val="4"/>
        </w:numPr>
        <w:shd w:val="clear" w:color="auto" w:fill="FFFFFF"/>
        <w:spacing w:after="0" w:line="240" w:lineRule="auto"/>
        <w:ind w:left="0" w:leftChars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П</w:t>
      </w:r>
      <w:r>
        <w:rPr>
          <w:rFonts w:ascii="Times New Roman" w:hAnsi="Times New Roman"/>
          <w:sz w:val="26"/>
          <w:szCs w:val="26"/>
        </w:rPr>
        <w:t xml:space="preserve">рочих субсидий бюджетам муниципальных округов в сумме </w:t>
      </w:r>
      <w:r>
        <w:rPr>
          <w:rFonts w:hint="default" w:ascii="Times New Roman" w:hAnsi="Times New Roman"/>
          <w:sz w:val="26"/>
          <w:szCs w:val="26"/>
          <w:lang w:val="ru-RU"/>
        </w:rPr>
        <w:t>0,03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>
      <w:pPr>
        <w:pStyle w:val="188"/>
        <w:numPr>
          <w:ilvl w:val="0"/>
          <w:numId w:val="4"/>
        </w:numPr>
        <w:shd w:val="clear" w:color="auto" w:fill="FFFFFF"/>
        <w:spacing w:after="0" w:line="240" w:lineRule="auto"/>
        <w:ind w:left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С</w:t>
      </w:r>
      <w:r>
        <w:rPr>
          <w:rFonts w:ascii="Times New Roman" w:hAnsi="Times New Roman"/>
          <w:sz w:val="26"/>
          <w:szCs w:val="26"/>
        </w:rPr>
        <w:t xml:space="preserve">убвенции  бюджетам муниципальных округов </w:t>
      </w:r>
      <w:r>
        <w:rPr>
          <w:rFonts w:ascii="Times New Roman" w:hAnsi="Times New Roman"/>
          <w:sz w:val="26"/>
          <w:szCs w:val="26"/>
          <w:lang w:val="ru-RU"/>
        </w:rPr>
        <w:t>на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выполнение передаваемых полномочий субъектов Российской Федерации </w:t>
      </w:r>
      <w:r>
        <w:rPr>
          <w:rFonts w:ascii="Times New Roman" w:hAnsi="Times New Roman"/>
          <w:sz w:val="26"/>
          <w:szCs w:val="26"/>
        </w:rPr>
        <w:t xml:space="preserve">в сумме </w:t>
      </w:r>
      <w:r>
        <w:rPr>
          <w:rFonts w:hint="default" w:ascii="Times New Roman" w:hAnsi="Times New Roman"/>
          <w:sz w:val="26"/>
          <w:szCs w:val="26"/>
          <w:lang w:val="ru-RU"/>
        </w:rPr>
        <w:t>0,04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>
      <w:pPr>
        <w:pStyle w:val="188"/>
        <w:numPr>
          <w:ilvl w:val="0"/>
          <w:numId w:val="4"/>
        </w:numPr>
        <w:shd w:val="clear" w:color="auto" w:fill="FFFFFF"/>
        <w:spacing w:after="0" w:line="240" w:lineRule="auto"/>
        <w:ind w:left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Межбюджетных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трансфертов, передаваемых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сумме 0,02 тыс.рублей.</w:t>
      </w:r>
    </w:p>
    <w:p>
      <w:pPr>
        <w:pStyle w:val="188"/>
        <w:numPr>
          <w:ilvl w:val="0"/>
          <w:numId w:val="4"/>
        </w:numPr>
        <w:shd w:val="clear" w:color="auto" w:fill="FFFFFF"/>
        <w:spacing w:after="0" w:line="240" w:lineRule="auto"/>
        <w:ind w:left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hint="default" w:ascii="Times New Roman" w:hAnsi="Times New Roman"/>
          <w:sz w:val="26"/>
          <w:szCs w:val="26"/>
          <w:lang w:val="ru-RU"/>
        </w:rPr>
        <w:t>Возврата остатков субсидий, субвенций и инх межбюджетных трансфертов, имеющих целевое назначение, прошлых лет из бюджетов муниципальных округов в сумме 6 003,99 тыс.рублей.</w:t>
      </w:r>
    </w:p>
    <w:p>
      <w:pPr>
        <w:pStyle w:val="188"/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>
      <w:pPr>
        <w:pStyle w:val="188"/>
        <w:numPr>
          <w:ilvl w:val="0"/>
          <w:numId w:val="2"/>
        </w:numPr>
        <w:shd w:val="clear" w:color="auto" w:fill="FFFFFF"/>
        <w:spacing w:before="240" w:after="0" w:line="240" w:lineRule="auto"/>
        <w:ind w:left="0" w:firstLin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Основные изменения бюджетных ассигнований на осуществление расходов бюджета Богородского муниципального округа </w:t>
      </w:r>
    </w:p>
    <w:p>
      <w:pPr>
        <w:pStyle w:val="188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Нижегородской области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Информация об изменениях бюджетных ассигнований по разделам классификации расходов местного бюджета на 2026 год представлена в таблице.</w:t>
      </w:r>
    </w:p>
    <w:p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тыс. рублей</w:t>
      </w:r>
    </w:p>
    <w:tbl>
      <w:tblPr>
        <w:tblStyle w:val="3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3"/>
        <w:gridCol w:w="2267"/>
        <w:gridCol w:w="1456"/>
        <w:gridCol w:w="1604"/>
        <w:gridCol w:w="13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раздела классификации расходов бюджета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53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Проект решения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Изменения к утвержденному решению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% изменения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Общегосударственные вопросы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324 145,47 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324 944,49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799,02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0,2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Национальная оборона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2 907,80 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2 907,80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69 297,96 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70 217,96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920,00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1,3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803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Национальная экономика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171 782,22 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189 304,05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17 521,83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10,2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759 649,92 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818 088,44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58 438,52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7,7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 xml:space="preserve">Образование 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1953 278,51 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1981 464,79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28 186,28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1,4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803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Культура, кинематография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215 184,14 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234 101,28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18 917,14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8,8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803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top"/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  <w:t>Здравохранение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  <w:t xml:space="preserve"> 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500,00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500,00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Социальная политика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99 115,25 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114 615,21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15 499,96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15,6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top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Физическая культура и спорт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149 552,42 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149 552,42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Средства массовой информации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7 884,49 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7 884,49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2803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top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>Всего расходов</w:t>
            </w:r>
          </w:p>
        </w:tc>
        <w:tc>
          <w:tcPr>
            <w:tcW w:w="226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3752 798,18 </w:t>
            </w:r>
          </w:p>
        </w:tc>
        <w:tc>
          <w:tcPr>
            <w:tcW w:w="14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3893 580,93 </w:t>
            </w:r>
          </w:p>
        </w:tc>
        <w:tc>
          <w:tcPr>
            <w:tcW w:w="160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140 782,75 </w:t>
            </w:r>
          </w:p>
        </w:tc>
        <w:tc>
          <w:tcPr>
            <w:tcW w:w="132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3,8 </w:t>
            </w:r>
          </w:p>
        </w:tc>
      </w:tr>
    </w:tbl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>
      <w:pPr>
        <w:shd w:val="clear" w:color="auto" w:fill="FFFFFF"/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рассматриваемым проектом решения предлагается изменить расходную часть бюджета на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 xml:space="preserve">140 782,75 </w:t>
      </w:r>
      <w:r>
        <w:rPr>
          <w:rFonts w:ascii="Times New Roman" w:hAnsi="Times New Roman"/>
          <w:sz w:val="26"/>
          <w:szCs w:val="26"/>
        </w:rPr>
        <w:t xml:space="preserve"> тыс. рублей, увеличив на сумму 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142 184,78 </w:t>
      </w:r>
      <w:r>
        <w:rPr>
          <w:rFonts w:ascii="Times New Roman" w:hAnsi="Times New Roman"/>
          <w:sz w:val="26"/>
          <w:szCs w:val="26"/>
        </w:rPr>
        <w:t xml:space="preserve">тыс. рублей, сократив на сумму </w:t>
      </w:r>
      <w:r>
        <w:rPr>
          <w:rFonts w:hint="default" w:ascii="Times New Roman" w:hAnsi="Times New Roman"/>
          <w:sz w:val="26"/>
          <w:szCs w:val="26"/>
          <w:lang w:val="ru-RU"/>
        </w:rPr>
        <w:t>1 402,03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Информация об изменениях финансового обеспечения муниципальных программ Богородского муниципального округа Нижегородской области на 2026 год представлена в таблице.</w:t>
      </w:r>
    </w:p>
    <w:p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тыс. рублей</w:t>
      </w:r>
    </w:p>
    <w:tbl>
      <w:tblPr>
        <w:tblStyle w:val="3"/>
        <w:tblW w:w="92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1417"/>
        <w:gridCol w:w="1418"/>
        <w:gridCol w:w="1276"/>
        <w:gridCol w:w="8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417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53</w:t>
            </w:r>
          </w:p>
        </w:tc>
        <w:tc>
          <w:tcPr>
            <w:tcW w:w="1418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Проект решения</w:t>
            </w:r>
          </w:p>
        </w:tc>
        <w:tc>
          <w:tcPr>
            <w:tcW w:w="1276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Изменения к утвержденному решению</w:t>
            </w:r>
          </w:p>
        </w:tc>
        <w:tc>
          <w:tcPr>
            <w:tcW w:w="808" w:type="dxa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% изменения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«Развитие образования Богородского муниципального округа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1893 005,09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1918 691,37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25 686,28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«Социальная поддержка граждан Богородского муниципального округа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12 441,85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27 941,85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15 500,00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124,6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«Обеспечение населения Богородского муниципального округа Нижегородской области доступным и комфортным жильем»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70 799,35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74 265,99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3 466,64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«Развитие культуры в Богородском муниципальном округе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279 437,72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300 832,32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21 394,60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7,7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«Развитие физической культуры и спорта в Богородском муниципальном округе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138 964,62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138 964,62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0,00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«Развитие агропромышленного комплекса Богородского муниципального округа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27 294,78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27 794,71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499,93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«Управление муниципальными финансами и муниципальным долгом Богородского муниципального округа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101 818,45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99 916,73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-1 901,72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- 1,9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«Управление муниципальным имуществом и земельными ресурсами Богородского муниципального округа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31 977,73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33 554,09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1 576,36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«Содействие развитию субъектов малого и среднего предпринимательства в Богородском муниципальном округе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1 150,20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1 150,20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0,00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«Развитие дорожного хозяйства Богородского муниципального округа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129 290,84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146 394,16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17 103,32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13,2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«Обеспечение населения Богородского муниципального округа Нижегородской области качественными услугами в сфере жилищно-коммунального хозяйства»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327 637,39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364 373,64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36 736,25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11,2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«Обеспечение безопасности жизнедеятельности населения Богородского муниципального округа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86 694,77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87 614,77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920,00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«Информационное общество Богородского муниципального округа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26 125,81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26 444,32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318,51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«Развитие муниципальной службы в Богородском муниципальном округе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177 238,30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177 283,46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45,16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«Формирование комфортной городской среды на территории Богородского муниципального округа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226 679,00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240 178,96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13 499,96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«Улучшение качества жизни и обеспечение безопасности жителей Богородского муниципального округа Нижегородской области»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182 266,73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186 932,47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4 665,74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«Энергосбережение и повышение энергетической эффективности в организациях с участием муниципального образования Богородский муниципальный округ»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30,00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30,00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0,00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4361" w:type="dxa"/>
            <w:noWrap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>Всего:</w:t>
            </w:r>
          </w:p>
        </w:tc>
        <w:tc>
          <w:tcPr>
            <w:tcW w:w="141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3712 852,63</w:t>
            </w:r>
          </w:p>
        </w:tc>
        <w:tc>
          <w:tcPr>
            <w:tcW w:w="141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3852 363,66</w:t>
            </w:r>
          </w:p>
        </w:tc>
        <w:tc>
          <w:tcPr>
            <w:tcW w:w="127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139 511,03</w:t>
            </w:r>
          </w:p>
        </w:tc>
        <w:tc>
          <w:tcPr>
            <w:tcW w:w="80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3,8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Основные изменения финансового обеспечения предусмотрены по муниципальным программам 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>«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>Социальная поддержка граждан Богородского муниципального округа Нижегородской области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>»</w:t>
      </w:r>
      <w:r>
        <w:rPr>
          <w:rFonts w:ascii="Times New Roman" w:hAnsi="Times New Roman"/>
          <w:color w:val="000000"/>
          <w:sz w:val="26"/>
          <w:szCs w:val="26"/>
        </w:rPr>
        <w:t xml:space="preserve"> в сумме увеличения на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>15 500,00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тыс. рублей (или на </w:t>
      </w:r>
      <w:r>
        <w:rPr>
          <w:rFonts w:hint="default" w:ascii="Times New Roman" w:hAnsi="Times New Roman" w:eastAsia="SimSun"/>
          <w:color w:val="000000"/>
          <w:sz w:val="26"/>
          <w:szCs w:val="26"/>
          <w:lang w:val="ru-RU" w:eastAsia="zh-CN"/>
        </w:rPr>
        <w:t>124,6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%), «Обеспечение населения Богородского муниципального округа Нижегородской области качественными услугами в сфере жилищно-коммунального хозяйства» с </w:t>
      </w:r>
      <w:r>
        <w:rPr>
          <w:rFonts w:ascii="Times New Roman" w:hAnsi="Times New Roman" w:eastAsia="SimSun"/>
          <w:color w:val="000000"/>
          <w:sz w:val="26"/>
          <w:szCs w:val="26"/>
          <w:lang w:val="ru-RU" w:eastAsia="zh-CN"/>
        </w:rPr>
        <w:t>увеличени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ем на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>36 736,25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тыс. рублей (или на </w:t>
      </w:r>
      <w:r>
        <w:rPr>
          <w:rFonts w:hint="default" w:ascii="Times New Roman" w:hAnsi="Times New Roman" w:eastAsia="SimSun"/>
          <w:color w:val="000000"/>
          <w:sz w:val="26"/>
          <w:szCs w:val="26"/>
          <w:lang w:val="ru-RU" w:eastAsia="zh-CN"/>
        </w:rPr>
        <w:t xml:space="preserve">11,2 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>%), «Развитие дорожного хозяйства Богородского муниципального округа Нижегородской области»</w:t>
      </w:r>
      <w:r>
        <w:rPr>
          <w:rFonts w:ascii="Times New Roman" w:hAnsi="Times New Roman" w:eastAsiaTheme="minorEastAsia"/>
          <w:sz w:val="26"/>
          <w:szCs w:val="26"/>
        </w:rPr>
        <w:t xml:space="preserve"> в сумме у</w:t>
      </w:r>
      <w:r>
        <w:rPr>
          <w:rFonts w:ascii="Times New Roman" w:hAnsi="Times New Roman" w:eastAsiaTheme="minorEastAsia"/>
          <w:sz w:val="26"/>
          <w:szCs w:val="26"/>
          <w:lang w:val="ru-RU"/>
        </w:rPr>
        <w:t>величен</w:t>
      </w:r>
      <w:r>
        <w:rPr>
          <w:rFonts w:ascii="Times New Roman" w:hAnsi="Times New Roman" w:eastAsiaTheme="minorEastAsia"/>
          <w:sz w:val="26"/>
          <w:szCs w:val="26"/>
        </w:rPr>
        <w:t xml:space="preserve">ия на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>17 103,32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</w:t>
      </w:r>
      <w:r>
        <w:rPr>
          <w:rFonts w:ascii="Times New Roman" w:hAnsi="Times New Roman" w:eastAsiaTheme="minorEastAsia"/>
          <w:sz w:val="26"/>
          <w:szCs w:val="26"/>
        </w:rPr>
        <w:t xml:space="preserve">тыс. рублей (или на </w:t>
      </w:r>
      <w:r>
        <w:rPr>
          <w:rFonts w:hint="default" w:ascii="Times New Roman" w:hAnsi="Times New Roman" w:eastAsiaTheme="minorEastAsia"/>
          <w:sz w:val="26"/>
          <w:szCs w:val="26"/>
          <w:lang w:val="ru-RU"/>
        </w:rPr>
        <w:t>13,2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%</w:t>
      </w:r>
      <w:r>
        <w:rPr>
          <w:rFonts w:ascii="Times New Roman" w:hAnsi="Times New Roman"/>
          <w:color w:val="000000"/>
          <w:sz w:val="26"/>
          <w:szCs w:val="26"/>
        </w:rPr>
        <w:t>).</w:t>
      </w:r>
    </w:p>
    <w:p>
      <w:pPr>
        <w:pStyle w:val="188"/>
        <w:spacing w:line="240" w:lineRule="auto"/>
        <w:ind w:left="0"/>
        <w:jc w:val="both"/>
        <w:rPr>
          <w:rFonts w:hint="default"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Непрограммные расходы составили 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4</w:t>
      </w:r>
      <w:r>
        <w:rPr>
          <w:rFonts w:hint="default" w:ascii="Times New Roman" w:hAnsi="Times New Roman"/>
          <w:color w:val="000000"/>
          <w:sz w:val="26"/>
          <w:szCs w:val="26"/>
        </w:rPr>
        <w:t>1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color w:val="000000"/>
          <w:sz w:val="26"/>
          <w:szCs w:val="26"/>
        </w:rPr>
        <w:t>217,27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тыс.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р</w:t>
      </w:r>
      <w:r>
        <w:rPr>
          <w:rFonts w:ascii="Times New Roman" w:hAnsi="Times New Roman"/>
          <w:color w:val="000000"/>
          <w:sz w:val="26"/>
          <w:szCs w:val="26"/>
        </w:rPr>
        <w:t>ублей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, увеличились на 1 271,72 тыс.рублей.</w:t>
      </w:r>
    </w:p>
    <w:p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>
      <w:pPr>
        <w:pStyle w:val="188"/>
        <w:numPr>
          <w:ilvl w:val="0"/>
          <w:numId w:val="2"/>
        </w:numPr>
        <w:spacing w:before="240" w:after="0" w:line="240" w:lineRule="auto"/>
        <w:ind w:left="0" w:firstLine="658" w:firstLineChars="253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Основные изменения по источникам финансирования дефицита бюджета</w:t>
      </w:r>
    </w:p>
    <w:p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Проектом решения предусмотрено исполнение местного бюджета с дефицитом в сумме </w:t>
      </w:r>
      <w:r>
        <w:rPr>
          <w:rFonts w:hint="default" w:ascii="Times New Roman" w:hAnsi="Times New Roman"/>
          <w:sz w:val="26"/>
          <w:szCs w:val="26"/>
          <w:lang w:val="ru-RU"/>
        </w:rPr>
        <w:t>190 952,95</w:t>
      </w:r>
      <w:r>
        <w:rPr>
          <w:rFonts w:ascii="Times New Roman" w:hAnsi="Times New Roman"/>
          <w:color w:val="000000"/>
          <w:sz w:val="26"/>
          <w:szCs w:val="26"/>
        </w:rPr>
        <w:t xml:space="preserve"> тыс. рублей. В качестве источников внутреннего финансирования дефицита бюджета предусмотрена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разница между привлеченными и погашенными кредитами кредитных организаций в валюте </w:t>
      </w:r>
      <w:r>
        <w:rPr>
          <w:rFonts w:ascii="Times New Roman" w:hAnsi="Times New Roman"/>
          <w:sz w:val="26"/>
          <w:szCs w:val="26"/>
        </w:rPr>
        <w:t>Российской Федерации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в сумме </w:t>
      </w:r>
      <w:r>
        <w:rPr>
          <w:rFonts w:hint="default" w:ascii="Times New Roman" w:hAnsi="Times New Roman"/>
          <w:sz w:val="26"/>
          <w:szCs w:val="26"/>
          <w:lang w:val="ru-RU"/>
        </w:rPr>
        <w:t>190 952,95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тыс. рублей.</w:t>
      </w:r>
      <w:r>
        <w:rPr>
          <w:rFonts w:ascii="Times New Roman" w:hAnsi="Times New Roman"/>
          <w:sz w:val="26"/>
          <w:szCs w:val="26"/>
        </w:rPr>
        <w:tab/>
      </w:r>
    </w:p>
    <w:p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Проектом решения о бюджете соблюдены требования и ограничения, установленные Бюджетным кодексом Российской Федерации: </w:t>
      </w: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п. 5 ст. 179.4 – по объему бюджетных ассигнований дорожного фонда </w:t>
      </w:r>
      <w:r>
        <w:rPr>
          <w:rFonts w:ascii="Times New Roman" w:hAnsi="Times New Roman"/>
          <w:color w:val="000000"/>
          <w:sz w:val="26"/>
          <w:szCs w:val="26"/>
        </w:rPr>
        <w:t>Богородского муниципального округа Нижегородской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</w:p>
    <w:p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п. 3 ст. 184.1 – по общему объему условно утверждаемых расходов, а также бюджетных ассигнований, направляемых на исполнение публичных нормативных обязательств. </w:t>
      </w:r>
    </w:p>
    <w:p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п. 3 ст. 92.1 – по размеру дефицита бюджета.</w:t>
      </w:r>
    </w:p>
    <w:p>
      <w:pPr>
        <w:pStyle w:val="19"/>
        <w:spacing w:after="0"/>
        <w:ind w:left="0" w:firstLine="657" w:firstLineChars="253"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Представленный проект решения не противоречит действующему законодательству и рекомендуется к рассмотрению на заседании Совета депутатов Богородского муниципального округа Нижегородской области.</w:t>
      </w:r>
    </w:p>
    <w:p>
      <w:pPr>
        <w:pStyle w:val="188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>
      <w:pPr>
        <w:pStyle w:val="188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>
      <w:pPr>
        <w:pStyle w:val="188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Председатель контрольно-счетной</w:t>
      </w:r>
    </w:p>
    <w:p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комиссии Богородского муниципального </w:t>
      </w:r>
    </w:p>
    <w:p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округа Нижегородской области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          Н.В.Гуськова 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/>
        <w:rPr>
          <w:rFonts w:ascii="Times New Roman" w:hAnsi="Times New Roman"/>
          <w:sz w:val="26"/>
          <w:szCs w:val="26"/>
        </w:rPr>
      </w:pPr>
      <w:r>
        <w:rPr>
          <w:rFonts w:hint="default" w:ascii="Times New Roman" w:hAnsi="Times New Roman"/>
          <w:color w:val="000000"/>
          <w:sz w:val="24"/>
          <w:lang w:val="ru-RU"/>
        </w:rPr>
        <w:t>11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hint="default" w:ascii="Times New Roman" w:hAnsi="Times New Roman"/>
          <w:color w:val="000000"/>
          <w:sz w:val="24"/>
          <w:lang w:val="ru-RU"/>
        </w:rPr>
        <w:t>01</w:t>
      </w:r>
      <w:r>
        <w:rPr>
          <w:rFonts w:ascii="Times New Roman" w:hAnsi="Times New Roman"/>
          <w:color w:val="000000"/>
          <w:sz w:val="24"/>
        </w:rPr>
        <w:t>.202</w:t>
      </w:r>
      <w:r>
        <w:rPr>
          <w:rFonts w:hint="default" w:ascii="Times New Roman" w:hAnsi="Times New Roman"/>
          <w:color w:val="000000"/>
          <w:sz w:val="24"/>
          <w:lang w:val="ru-RU"/>
        </w:rPr>
        <w:t>6</w:t>
      </w:r>
      <w:bookmarkStart w:id="0" w:name="_GoBack"/>
      <w:bookmarkEnd w:id="0"/>
    </w:p>
    <w:sectPr>
      <w:pgSz w:w="11906" w:h="16838"/>
      <w:pgMar w:top="993" w:right="965" w:bottom="1135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C510E3"/>
    <w:multiLevelType w:val="multilevel"/>
    <w:tmpl w:val="05C510E3"/>
    <w:lvl w:ilvl="0" w:tentative="0">
      <w:start w:val="1"/>
      <w:numFmt w:val="decimal"/>
      <w:lvlText w:val="%1)"/>
      <w:lvlJc w:val="left"/>
      <w:pPr>
        <w:ind w:left="-60"/>
      </w:pPr>
      <w:rPr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F1B57"/>
    <w:multiLevelType w:val="multilevel"/>
    <w:tmpl w:val="15AF1B5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B02E6"/>
    <w:multiLevelType w:val="multilevel"/>
    <w:tmpl w:val="1D4B02E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none"/>
      <w:lvlText w:val=""/>
      <w:lvlJc w:val="left"/>
      <w:pPr>
        <w:tabs>
          <w:tab w:val="left" w:pos="360"/>
        </w:tabs>
      </w:pPr>
    </w:lvl>
    <w:lvl w:ilvl="2" w:tentative="0">
      <w:start w:val="1"/>
      <w:numFmt w:val="none"/>
      <w:lvlText w:val=""/>
      <w:lvlJc w:val="left"/>
      <w:pPr>
        <w:tabs>
          <w:tab w:val="left" w:pos="360"/>
        </w:tabs>
      </w:pPr>
    </w:lvl>
    <w:lvl w:ilvl="3" w:tentative="0">
      <w:start w:val="1"/>
      <w:numFmt w:val="none"/>
      <w:lvlText w:val=""/>
      <w:lvlJc w:val="left"/>
      <w:pPr>
        <w:tabs>
          <w:tab w:val="left" w:pos="360"/>
        </w:tabs>
      </w:pPr>
    </w:lvl>
    <w:lvl w:ilvl="4" w:tentative="0">
      <w:start w:val="1"/>
      <w:numFmt w:val="none"/>
      <w:lvlText w:val=""/>
      <w:lvlJc w:val="left"/>
      <w:pPr>
        <w:tabs>
          <w:tab w:val="left" w:pos="360"/>
        </w:tabs>
      </w:pPr>
    </w:lvl>
    <w:lvl w:ilvl="5" w:tentative="0">
      <w:start w:val="1"/>
      <w:numFmt w:val="none"/>
      <w:lvlText w:val=""/>
      <w:lvlJc w:val="left"/>
      <w:pPr>
        <w:tabs>
          <w:tab w:val="left" w:pos="360"/>
        </w:tabs>
      </w:pPr>
    </w:lvl>
    <w:lvl w:ilvl="6" w:tentative="0">
      <w:start w:val="1"/>
      <w:numFmt w:val="none"/>
      <w:lvlText w:val=""/>
      <w:lvlJc w:val="left"/>
      <w:pPr>
        <w:tabs>
          <w:tab w:val="left" w:pos="360"/>
        </w:tabs>
      </w:pPr>
    </w:lvl>
    <w:lvl w:ilvl="7" w:tentative="0">
      <w:start w:val="1"/>
      <w:numFmt w:val="none"/>
      <w:lvlText w:val=""/>
      <w:lvlJc w:val="left"/>
      <w:pPr>
        <w:tabs>
          <w:tab w:val="left" w:pos="360"/>
        </w:tabs>
      </w:pPr>
    </w:lvl>
    <w:lvl w:ilvl="8" w:tentative="0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3">
    <w:nsid w:val="5F630EC2"/>
    <w:multiLevelType w:val="singleLevel"/>
    <w:tmpl w:val="5F630EC2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38"/>
    <w:rsid w:val="0000096D"/>
    <w:rsid w:val="00006AC2"/>
    <w:rsid w:val="000167CE"/>
    <w:rsid w:val="00021463"/>
    <w:rsid w:val="0004438D"/>
    <w:rsid w:val="00072D91"/>
    <w:rsid w:val="000A12F7"/>
    <w:rsid w:val="000A49BB"/>
    <w:rsid w:val="000B0B74"/>
    <w:rsid w:val="000F48F3"/>
    <w:rsid w:val="000F7FF5"/>
    <w:rsid w:val="00103BA2"/>
    <w:rsid w:val="001336DB"/>
    <w:rsid w:val="00142B2E"/>
    <w:rsid w:val="001431CF"/>
    <w:rsid w:val="00167EE0"/>
    <w:rsid w:val="001A1A4D"/>
    <w:rsid w:val="001B3D40"/>
    <w:rsid w:val="001B604B"/>
    <w:rsid w:val="001D0807"/>
    <w:rsid w:val="001E0B4E"/>
    <w:rsid w:val="001F49ED"/>
    <w:rsid w:val="002121AE"/>
    <w:rsid w:val="002371E6"/>
    <w:rsid w:val="00246A2F"/>
    <w:rsid w:val="002536E7"/>
    <w:rsid w:val="0026743D"/>
    <w:rsid w:val="00277333"/>
    <w:rsid w:val="00296286"/>
    <w:rsid w:val="002A33B6"/>
    <w:rsid w:val="002B2B27"/>
    <w:rsid w:val="002D2AD4"/>
    <w:rsid w:val="003039B2"/>
    <w:rsid w:val="00303C35"/>
    <w:rsid w:val="003141AA"/>
    <w:rsid w:val="00330709"/>
    <w:rsid w:val="003330AE"/>
    <w:rsid w:val="00341906"/>
    <w:rsid w:val="00356139"/>
    <w:rsid w:val="00362AE1"/>
    <w:rsid w:val="0039034C"/>
    <w:rsid w:val="00390B02"/>
    <w:rsid w:val="003D3419"/>
    <w:rsid w:val="004034E2"/>
    <w:rsid w:val="004454FA"/>
    <w:rsid w:val="004507E8"/>
    <w:rsid w:val="00450AE9"/>
    <w:rsid w:val="00453038"/>
    <w:rsid w:val="004A759A"/>
    <w:rsid w:val="004E18C6"/>
    <w:rsid w:val="004E716F"/>
    <w:rsid w:val="00502A76"/>
    <w:rsid w:val="00502BBF"/>
    <w:rsid w:val="00505924"/>
    <w:rsid w:val="005212CD"/>
    <w:rsid w:val="00522626"/>
    <w:rsid w:val="00522A16"/>
    <w:rsid w:val="00525441"/>
    <w:rsid w:val="00535A9A"/>
    <w:rsid w:val="005510F5"/>
    <w:rsid w:val="00563FA9"/>
    <w:rsid w:val="00572D62"/>
    <w:rsid w:val="005809EC"/>
    <w:rsid w:val="005973CE"/>
    <w:rsid w:val="005A24F7"/>
    <w:rsid w:val="005B3760"/>
    <w:rsid w:val="005B503A"/>
    <w:rsid w:val="00613BD2"/>
    <w:rsid w:val="006535F9"/>
    <w:rsid w:val="00665CBD"/>
    <w:rsid w:val="006672A0"/>
    <w:rsid w:val="006B2DA7"/>
    <w:rsid w:val="006C06B0"/>
    <w:rsid w:val="006C10F7"/>
    <w:rsid w:val="00710C19"/>
    <w:rsid w:val="007347DE"/>
    <w:rsid w:val="00736113"/>
    <w:rsid w:val="00763AD4"/>
    <w:rsid w:val="00770664"/>
    <w:rsid w:val="00774E16"/>
    <w:rsid w:val="00784A7E"/>
    <w:rsid w:val="007E4536"/>
    <w:rsid w:val="007F414C"/>
    <w:rsid w:val="0080443A"/>
    <w:rsid w:val="00832F51"/>
    <w:rsid w:val="00870D43"/>
    <w:rsid w:val="008A497C"/>
    <w:rsid w:val="008B0FBD"/>
    <w:rsid w:val="008C2A78"/>
    <w:rsid w:val="008C60B6"/>
    <w:rsid w:val="008E210C"/>
    <w:rsid w:val="008E28FA"/>
    <w:rsid w:val="008F034C"/>
    <w:rsid w:val="00905050"/>
    <w:rsid w:val="009179D1"/>
    <w:rsid w:val="00941B00"/>
    <w:rsid w:val="0098078B"/>
    <w:rsid w:val="00984E0E"/>
    <w:rsid w:val="009C0999"/>
    <w:rsid w:val="009C2694"/>
    <w:rsid w:val="009C6F8C"/>
    <w:rsid w:val="009E1460"/>
    <w:rsid w:val="009E16F3"/>
    <w:rsid w:val="00A04D18"/>
    <w:rsid w:val="00A54215"/>
    <w:rsid w:val="00A67B02"/>
    <w:rsid w:val="00A72867"/>
    <w:rsid w:val="00A87A72"/>
    <w:rsid w:val="00AA742D"/>
    <w:rsid w:val="00AB5A40"/>
    <w:rsid w:val="00AC3073"/>
    <w:rsid w:val="00AE3A60"/>
    <w:rsid w:val="00B12A47"/>
    <w:rsid w:val="00B12C5C"/>
    <w:rsid w:val="00B156DF"/>
    <w:rsid w:val="00B232BE"/>
    <w:rsid w:val="00B43A5D"/>
    <w:rsid w:val="00B55F6E"/>
    <w:rsid w:val="00B726DA"/>
    <w:rsid w:val="00B75C44"/>
    <w:rsid w:val="00B82753"/>
    <w:rsid w:val="00B82BAD"/>
    <w:rsid w:val="00BA1D1E"/>
    <w:rsid w:val="00BB2038"/>
    <w:rsid w:val="00BE1AB1"/>
    <w:rsid w:val="00BE2DE6"/>
    <w:rsid w:val="00BE31F9"/>
    <w:rsid w:val="00BF5847"/>
    <w:rsid w:val="00C241DB"/>
    <w:rsid w:val="00C3574E"/>
    <w:rsid w:val="00C5767B"/>
    <w:rsid w:val="00C6666F"/>
    <w:rsid w:val="00C916A5"/>
    <w:rsid w:val="00C91988"/>
    <w:rsid w:val="00C920E5"/>
    <w:rsid w:val="00D207F1"/>
    <w:rsid w:val="00D27083"/>
    <w:rsid w:val="00D3048A"/>
    <w:rsid w:val="00D35B25"/>
    <w:rsid w:val="00D4502C"/>
    <w:rsid w:val="00D758F6"/>
    <w:rsid w:val="00D80ADF"/>
    <w:rsid w:val="00DA65A2"/>
    <w:rsid w:val="00DB062D"/>
    <w:rsid w:val="00DC0280"/>
    <w:rsid w:val="00DC0B5A"/>
    <w:rsid w:val="00DD644F"/>
    <w:rsid w:val="00E03CE8"/>
    <w:rsid w:val="00E27D8C"/>
    <w:rsid w:val="00E351BF"/>
    <w:rsid w:val="00E45863"/>
    <w:rsid w:val="00E661F4"/>
    <w:rsid w:val="00E72892"/>
    <w:rsid w:val="00E86241"/>
    <w:rsid w:val="00EA352B"/>
    <w:rsid w:val="00EC4245"/>
    <w:rsid w:val="00ED5F12"/>
    <w:rsid w:val="00EE07CA"/>
    <w:rsid w:val="00EE5F20"/>
    <w:rsid w:val="00EF0584"/>
    <w:rsid w:val="00F047AB"/>
    <w:rsid w:val="00F302FC"/>
    <w:rsid w:val="00F430EB"/>
    <w:rsid w:val="00F7124C"/>
    <w:rsid w:val="00F85512"/>
    <w:rsid w:val="00F8698C"/>
    <w:rsid w:val="00FA031A"/>
    <w:rsid w:val="00FD1949"/>
    <w:rsid w:val="00FD34F5"/>
    <w:rsid w:val="00FF08C5"/>
    <w:rsid w:val="017C1F56"/>
    <w:rsid w:val="01EB50C9"/>
    <w:rsid w:val="033C59C6"/>
    <w:rsid w:val="03D72572"/>
    <w:rsid w:val="040F5773"/>
    <w:rsid w:val="05773987"/>
    <w:rsid w:val="08506633"/>
    <w:rsid w:val="08C2146E"/>
    <w:rsid w:val="095D5331"/>
    <w:rsid w:val="09D0475C"/>
    <w:rsid w:val="0A57305D"/>
    <w:rsid w:val="0A663F99"/>
    <w:rsid w:val="0E6620EF"/>
    <w:rsid w:val="0E795E8E"/>
    <w:rsid w:val="0F1A6058"/>
    <w:rsid w:val="10AC4A40"/>
    <w:rsid w:val="123F21C2"/>
    <w:rsid w:val="16387814"/>
    <w:rsid w:val="174A7134"/>
    <w:rsid w:val="174B23F8"/>
    <w:rsid w:val="1A212ADE"/>
    <w:rsid w:val="1BA8257F"/>
    <w:rsid w:val="1D44409F"/>
    <w:rsid w:val="1EC5770B"/>
    <w:rsid w:val="20252C50"/>
    <w:rsid w:val="218D3C49"/>
    <w:rsid w:val="22804282"/>
    <w:rsid w:val="228F7F7C"/>
    <w:rsid w:val="278F0DF5"/>
    <w:rsid w:val="29557925"/>
    <w:rsid w:val="29CB32FD"/>
    <w:rsid w:val="2B995F99"/>
    <w:rsid w:val="2BD337CD"/>
    <w:rsid w:val="2C372864"/>
    <w:rsid w:val="2EB83193"/>
    <w:rsid w:val="2EFE0757"/>
    <w:rsid w:val="2F093B3A"/>
    <w:rsid w:val="303059B9"/>
    <w:rsid w:val="32B003EE"/>
    <w:rsid w:val="3647326D"/>
    <w:rsid w:val="36ED1F13"/>
    <w:rsid w:val="3B056CE2"/>
    <w:rsid w:val="3B745E2B"/>
    <w:rsid w:val="3C9F21FA"/>
    <w:rsid w:val="3CEC5B9B"/>
    <w:rsid w:val="3E22754F"/>
    <w:rsid w:val="3E900341"/>
    <w:rsid w:val="3F8B2050"/>
    <w:rsid w:val="42016925"/>
    <w:rsid w:val="4386542C"/>
    <w:rsid w:val="441A52C7"/>
    <w:rsid w:val="441D624B"/>
    <w:rsid w:val="492A1A2C"/>
    <w:rsid w:val="4CF22055"/>
    <w:rsid w:val="4CF46CCF"/>
    <w:rsid w:val="4F7A20A8"/>
    <w:rsid w:val="503F49D5"/>
    <w:rsid w:val="50D97F6E"/>
    <w:rsid w:val="520A6B93"/>
    <w:rsid w:val="52D41C73"/>
    <w:rsid w:val="52E40364"/>
    <w:rsid w:val="53E57625"/>
    <w:rsid w:val="545819D6"/>
    <w:rsid w:val="546F7724"/>
    <w:rsid w:val="54890893"/>
    <w:rsid w:val="5B553D2A"/>
    <w:rsid w:val="5DAD533E"/>
    <w:rsid w:val="5DC913EB"/>
    <w:rsid w:val="5E805317"/>
    <w:rsid w:val="5E941AD8"/>
    <w:rsid w:val="60D81969"/>
    <w:rsid w:val="60E5134B"/>
    <w:rsid w:val="629835F8"/>
    <w:rsid w:val="63672527"/>
    <w:rsid w:val="64B7454D"/>
    <w:rsid w:val="67F56F1D"/>
    <w:rsid w:val="69D23A98"/>
    <w:rsid w:val="6AED06A1"/>
    <w:rsid w:val="6DEE6AE4"/>
    <w:rsid w:val="6FA4387E"/>
    <w:rsid w:val="6FCA3275"/>
    <w:rsid w:val="72982AA9"/>
    <w:rsid w:val="743950BE"/>
    <w:rsid w:val="762B7CFF"/>
    <w:rsid w:val="77042FD3"/>
    <w:rsid w:val="7C09154E"/>
    <w:rsid w:val="7F9F0507"/>
    <w:rsid w:val="7FB638B2"/>
    <w:rsid w:val="7FFD24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unhideWhenUsed/>
    <w:qFormat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86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8">
    <w:name w:val="footnote text"/>
    <w:basedOn w:val="1"/>
    <w:link w:val="185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able of figures"/>
    <w:basedOn w:val="1"/>
    <w:next w:val="1"/>
    <w:unhideWhenUsed/>
    <w:qFormat/>
    <w:uiPriority w:val="99"/>
    <w:pPr>
      <w:spacing w:after="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9">
    <w:name w:val="Body Text Indent"/>
    <w:basedOn w:val="1"/>
    <w:link w:val="189"/>
    <w:qFormat/>
    <w:uiPriority w:val="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0">
    <w:name w:val="Title"/>
    <w:basedOn w:val="1"/>
    <w:next w:val="1"/>
    <w:link w:val="48"/>
    <w:qFormat/>
    <w:uiPriority w:val="10"/>
    <w:pPr>
      <w:spacing w:before="300"/>
      <w:contextualSpacing/>
    </w:pPr>
    <w:rPr>
      <w:sz w:val="48"/>
      <w:szCs w:val="48"/>
    </w:rPr>
  </w:style>
  <w:style w:type="paragraph" w:styleId="21">
    <w:name w:val="Subtitle"/>
    <w:basedOn w:val="1"/>
    <w:next w:val="1"/>
    <w:link w:val="49"/>
    <w:qFormat/>
    <w:uiPriority w:val="11"/>
    <w:pPr>
      <w:spacing w:before="200"/>
    </w:pPr>
    <w:rPr>
      <w:sz w:val="24"/>
      <w:szCs w:val="24"/>
    </w:rPr>
  </w:style>
  <w:style w:type="table" w:styleId="22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Title Char"/>
    <w:basedOn w:val="2"/>
    <w:qFormat/>
    <w:uiPriority w:val="10"/>
    <w:rPr>
      <w:sz w:val="48"/>
      <w:szCs w:val="48"/>
    </w:rPr>
  </w:style>
  <w:style w:type="character" w:customStyle="1" w:styleId="24">
    <w:name w:val="Subtitle Char"/>
    <w:basedOn w:val="2"/>
    <w:qFormat/>
    <w:uiPriority w:val="11"/>
    <w:rPr>
      <w:sz w:val="24"/>
      <w:szCs w:val="24"/>
    </w:rPr>
  </w:style>
  <w:style w:type="character" w:customStyle="1" w:styleId="25">
    <w:name w:val="Quote Char"/>
    <w:qFormat/>
    <w:uiPriority w:val="29"/>
    <w:rPr>
      <w:i/>
    </w:rPr>
  </w:style>
  <w:style w:type="character" w:customStyle="1" w:styleId="26">
    <w:name w:val="Intense Quote Char"/>
    <w:qFormat/>
    <w:uiPriority w:val="30"/>
    <w:rPr>
      <w:i/>
    </w:rPr>
  </w:style>
  <w:style w:type="character" w:customStyle="1" w:styleId="27">
    <w:name w:val="Footnote Text Char"/>
    <w:qFormat/>
    <w:uiPriority w:val="99"/>
    <w:rPr>
      <w:sz w:val="18"/>
    </w:rPr>
  </w:style>
  <w:style w:type="character" w:customStyle="1" w:styleId="28">
    <w:name w:val="Endnote Text Char"/>
    <w:qFormat/>
    <w:uiPriority w:val="99"/>
    <w:rPr>
      <w:sz w:val="20"/>
    </w:rPr>
  </w:style>
  <w:style w:type="paragraph" w:customStyle="1" w:styleId="29">
    <w:name w:val="Heading 1"/>
    <w:basedOn w:val="1"/>
    <w:next w:val="1"/>
    <w:link w:val="30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customStyle="1" w:styleId="30">
    <w:name w:val="Heading 1 Char"/>
    <w:basedOn w:val="2"/>
    <w:link w:val="29"/>
    <w:qFormat/>
    <w:uiPriority w:val="9"/>
    <w:rPr>
      <w:rFonts w:ascii="Arial" w:hAnsi="Arial" w:eastAsia="Arial" w:cs="Arial"/>
      <w:sz w:val="40"/>
      <w:szCs w:val="40"/>
    </w:rPr>
  </w:style>
  <w:style w:type="paragraph" w:customStyle="1" w:styleId="31">
    <w:name w:val="Heading 2"/>
    <w:basedOn w:val="1"/>
    <w:next w:val="1"/>
    <w:link w:val="32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character" w:customStyle="1" w:styleId="32">
    <w:name w:val="Heading 2 Char"/>
    <w:basedOn w:val="2"/>
    <w:link w:val="31"/>
    <w:qFormat/>
    <w:uiPriority w:val="9"/>
    <w:rPr>
      <w:rFonts w:ascii="Arial" w:hAnsi="Arial" w:eastAsia="Arial" w:cs="Arial"/>
      <w:sz w:val="34"/>
    </w:rPr>
  </w:style>
  <w:style w:type="paragraph" w:customStyle="1" w:styleId="33">
    <w:name w:val="Heading 3"/>
    <w:basedOn w:val="1"/>
    <w:next w:val="1"/>
    <w:link w:val="34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customStyle="1" w:styleId="34">
    <w:name w:val="Heading 3 Char"/>
    <w:basedOn w:val="2"/>
    <w:link w:val="33"/>
    <w:qFormat/>
    <w:uiPriority w:val="9"/>
    <w:rPr>
      <w:rFonts w:ascii="Arial" w:hAnsi="Arial" w:eastAsia="Arial" w:cs="Arial"/>
      <w:sz w:val="30"/>
      <w:szCs w:val="30"/>
    </w:rPr>
  </w:style>
  <w:style w:type="paragraph" w:customStyle="1" w:styleId="35">
    <w:name w:val="Heading 4"/>
    <w:basedOn w:val="1"/>
    <w:next w:val="1"/>
    <w:link w:val="36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customStyle="1" w:styleId="36">
    <w:name w:val="Heading 4 Char"/>
    <w:basedOn w:val="2"/>
    <w:link w:val="35"/>
    <w:qFormat/>
    <w:uiPriority w:val="9"/>
    <w:rPr>
      <w:rFonts w:ascii="Arial" w:hAnsi="Arial" w:eastAsia="Arial" w:cs="Arial"/>
      <w:b/>
      <w:bCs/>
      <w:sz w:val="26"/>
      <w:szCs w:val="26"/>
    </w:rPr>
  </w:style>
  <w:style w:type="paragraph" w:customStyle="1" w:styleId="37">
    <w:name w:val="Heading 5"/>
    <w:basedOn w:val="1"/>
    <w:next w:val="1"/>
    <w:link w:val="38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customStyle="1" w:styleId="38">
    <w:name w:val="Heading 5 Char"/>
    <w:basedOn w:val="2"/>
    <w:link w:val="37"/>
    <w:qFormat/>
    <w:uiPriority w:val="9"/>
    <w:rPr>
      <w:rFonts w:ascii="Arial" w:hAnsi="Arial" w:eastAsia="Arial" w:cs="Arial"/>
      <w:b/>
      <w:bCs/>
      <w:sz w:val="24"/>
      <w:szCs w:val="24"/>
    </w:rPr>
  </w:style>
  <w:style w:type="paragraph" w:customStyle="1" w:styleId="39">
    <w:name w:val="Heading 6"/>
    <w:basedOn w:val="1"/>
    <w:next w:val="1"/>
    <w:link w:val="40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character" w:customStyle="1" w:styleId="40">
    <w:name w:val="Heading 6 Char"/>
    <w:basedOn w:val="2"/>
    <w:link w:val="39"/>
    <w:qFormat/>
    <w:uiPriority w:val="9"/>
    <w:rPr>
      <w:rFonts w:ascii="Arial" w:hAnsi="Arial" w:eastAsia="Arial" w:cs="Arial"/>
      <w:b/>
      <w:bCs/>
      <w:sz w:val="22"/>
      <w:szCs w:val="22"/>
    </w:rPr>
  </w:style>
  <w:style w:type="paragraph" w:customStyle="1" w:styleId="41">
    <w:name w:val="Heading 7"/>
    <w:basedOn w:val="1"/>
    <w:next w:val="1"/>
    <w:link w:val="42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customStyle="1" w:styleId="42">
    <w:name w:val="Heading 7 Char"/>
    <w:basedOn w:val="2"/>
    <w:link w:val="41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3">
    <w:name w:val="Heading 8"/>
    <w:basedOn w:val="1"/>
    <w:next w:val="1"/>
    <w:link w:val="44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character" w:customStyle="1" w:styleId="44">
    <w:name w:val="Heading 8 Char"/>
    <w:basedOn w:val="2"/>
    <w:link w:val="43"/>
    <w:qFormat/>
    <w:uiPriority w:val="9"/>
    <w:rPr>
      <w:rFonts w:ascii="Arial" w:hAnsi="Arial" w:eastAsia="Arial" w:cs="Arial"/>
      <w:i/>
      <w:iCs/>
      <w:sz w:val="22"/>
      <w:szCs w:val="22"/>
    </w:rPr>
  </w:style>
  <w:style w:type="paragraph" w:customStyle="1" w:styleId="45">
    <w:name w:val="Heading 9"/>
    <w:basedOn w:val="1"/>
    <w:next w:val="1"/>
    <w:link w:val="46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6">
    <w:name w:val="Heading 9 Char"/>
    <w:basedOn w:val="2"/>
    <w:link w:val="45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7">
    <w:name w:val="No Spacing"/>
    <w:qFormat/>
    <w:uiPriority w:val="1"/>
    <w:rPr>
      <w:rFonts w:ascii="Times New Roman" w:hAnsi="Times New Roman" w:eastAsia="SimSun" w:cs="Times New Roman"/>
      <w:lang w:val="ru-RU" w:eastAsia="ru-RU" w:bidi="ar-SA"/>
    </w:rPr>
  </w:style>
  <w:style w:type="character" w:customStyle="1" w:styleId="48">
    <w:name w:val="Название Знак"/>
    <w:basedOn w:val="2"/>
    <w:link w:val="20"/>
    <w:qFormat/>
    <w:uiPriority w:val="10"/>
    <w:rPr>
      <w:sz w:val="48"/>
      <w:szCs w:val="48"/>
    </w:rPr>
  </w:style>
  <w:style w:type="character" w:customStyle="1" w:styleId="49">
    <w:name w:val="Подзаголовок Знак"/>
    <w:basedOn w:val="2"/>
    <w:link w:val="21"/>
    <w:qFormat/>
    <w:uiPriority w:val="11"/>
    <w:rPr>
      <w:sz w:val="24"/>
      <w:szCs w:val="24"/>
    </w:rPr>
  </w:style>
  <w:style w:type="paragraph" w:styleId="50">
    <w:name w:val="Quote"/>
    <w:basedOn w:val="1"/>
    <w:next w:val="1"/>
    <w:link w:val="51"/>
    <w:qFormat/>
    <w:uiPriority w:val="29"/>
    <w:pPr>
      <w:ind w:left="720" w:right="720"/>
    </w:pPr>
    <w:rPr>
      <w:i/>
    </w:rPr>
  </w:style>
  <w:style w:type="character" w:customStyle="1" w:styleId="51">
    <w:name w:val="Цитата 2 Знак"/>
    <w:link w:val="50"/>
    <w:qFormat/>
    <w:uiPriority w:val="29"/>
    <w:rPr>
      <w:i/>
    </w:rPr>
  </w:style>
  <w:style w:type="paragraph" w:styleId="52">
    <w:name w:val="Intense Quote"/>
    <w:basedOn w:val="1"/>
    <w:next w:val="1"/>
    <w:link w:val="5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3">
    <w:name w:val="Выделенная цитата Знак"/>
    <w:link w:val="52"/>
    <w:qFormat/>
    <w:uiPriority w:val="30"/>
    <w:rPr>
      <w:i/>
    </w:rPr>
  </w:style>
  <w:style w:type="character" w:customStyle="1" w:styleId="54">
    <w:name w:val="Header Char"/>
    <w:basedOn w:val="2"/>
    <w:link w:val="55"/>
    <w:qFormat/>
    <w:uiPriority w:val="99"/>
  </w:style>
  <w:style w:type="paragraph" w:customStyle="1" w:styleId="55">
    <w:name w:val="Header"/>
    <w:basedOn w:val="1"/>
    <w:link w:val="54"/>
    <w:semiHidden/>
    <w:unhideWhenUsed/>
    <w:qFormat/>
    <w:uiPriority w:val="99"/>
    <w:pPr>
      <w:tabs>
        <w:tab w:val="center" w:pos="4153"/>
        <w:tab w:val="right" w:pos="8306"/>
      </w:tabs>
    </w:pPr>
  </w:style>
  <w:style w:type="character" w:customStyle="1" w:styleId="56">
    <w:name w:val="Footer Char"/>
    <w:basedOn w:val="2"/>
    <w:qFormat/>
    <w:uiPriority w:val="99"/>
  </w:style>
  <w:style w:type="paragraph" w:customStyle="1" w:styleId="57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</w:rPr>
  </w:style>
  <w:style w:type="character" w:customStyle="1" w:styleId="58">
    <w:name w:val="Caption Char"/>
    <w:link w:val="59"/>
    <w:qFormat/>
    <w:uiPriority w:val="99"/>
  </w:style>
  <w:style w:type="paragraph" w:customStyle="1" w:styleId="59">
    <w:name w:val="Footer"/>
    <w:basedOn w:val="1"/>
    <w:link w:val="58"/>
    <w:semiHidden/>
    <w:unhideWhenUsed/>
    <w:qFormat/>
    <w:uiPriority w:val="99"/>
    <w:pPr>
      <w:tabs>
        <w:tab w:val="center" w:pos="4153"/>
        <w:tab w:val="right" w:pos="8306"/>
      </w:tabs>
    </w:pPr>
  </w:style>
  <w:style w:type="table" w:customStyle="1" w:styleId="6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Plain Table 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tcPr>
        <w:shd w:val="clear" w:color="FFFFFF" w:themeColor="text1" w:themeTint="00" w:fill="FFFFFF" w:themeFill="text1" w:themeFillTint="00"/>
      </w:tcPr>
    </w:tblStylePr>
  </w:style>
  <w:style w:type="table" w:customStyle="1" w:styleId="62">
    <w:name w:val="Plain Table 2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3">
    <w:name w:val="Plain Table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4">
    <w:name w:val="Plain Table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5">
    <w:name w:val="Plain Table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6">
    <w:name w:val="Grid Table 1 Light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7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7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7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3">
    <w:name w:val="Grid Table 2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0">
    <w:name w:val="Grid Table 3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7">
    <w:name w:val="Grid Table 4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9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4">
    <w:name w:val="Grid Table 5 Dark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10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01">
    <w:name w:val="Grid Table 6 Colorful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E7E7E" w:themeColor="text1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Tint="80"/>
      </w:rPr>
    </w:tblStylePr>
    <w:tblStylePr w:type="firstCol">
      <w:rPr>
        <w:b/>
        <w:color w:val="7E7E7E" w:themeColor="text1" w:themeTint="80"/>
      </w:rPr>
    </w:tblStylePr>
    <w:tblStylePr w:type="lastCol">
      <w:rPr>
        <w:b/>
        <w:color w:val="7E7E7E" w:themeColor="text1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Tint="80"/>
        <w:sz w:val="22"/>
      </w:rPr>
    </w:tblStylePr>
  </w:style>
  <w:style w:type="table" w:customStyle="1" w:styleId="10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10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896" w:themeColor="accent2" w:themeTint="96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896" w:themeColor="accent2" w:themeTint="96"/>
      </w:rPr>
    </w:tblStylePr>
    <w:tblStylePr w:type="firstCol">
      <w:rPr>
        <w:b/>
        <w:color w:val="D99896" w:themeColor="accent2" w:themeTint="96"/>
      </w:rPr>
    </w:tblStylePr>
    <w:tblStylePr w:type="lastCol">
      <w:rPr>
        <w:b/>
        <w:color w:val="D99896" w:themeColor="accent2" w:themeTint="96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896" w:themeColor="accent2" w:themeTint="96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896" w:themeColor="accent2" w:themeTint="96"/>
        <w:sz w:val="22"/>
      </w:rPr>
    </w:tblStylePr>
  </w:style>
  <w:style w:type="table" w:customStyle="1" w:styleId="10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10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10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10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108">
    <w:name w:val="Grid Table 7 Colorful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E7E7E" w:themeColor="text1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E7E7E" w:themeColor="text1" w:themeTint="80"/>
        <w:sz w:val="22"/>
      </w:rPr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E7E7E" w:themeColor="text1" w:themeTint="80"/>
        <w:sz w:val="22"/>
      </w:rPr>
    </w:tblStylePr>
  </w:style>
  <w:style w:type="table" w:customStyle="1" w:styleId="10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11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896" w:themeColor="accent2" w:themeTint="96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896" w:themeColor="accent2" w:themeTint="96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896" w:themeColor="accent2" w:themeTint="96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896" w:themeColor="accent2" w:themeTint="96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896" w:themeColor="accent2" w:themeTint="96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896" w:themeColor="accent2" w:themeTint="96"/>
        <w:sz w:val="22"/>
      </w:rPr>
    </w:tblStylePr>
  </w:style>
  <w:style w:type="table" w:customStyle="1" w:styleId="11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11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11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11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115">
    <w:name w:val="List Table 1 Light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1 Light - Accent 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7">
    <w:name w:val="List Table 1 Light - Accent 2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8">
    <w:name w:val="List Table 1 Light - Accent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9">
    <w:name w:val="List Table 1 Light - Accent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20">
    <w:name w:val="List Table 1 Light - Accent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21">
    <w:name w:val="List Table 1 Light - Accent 6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22">
    <w:name w:val="List Table 2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9">
    <w:name w:val="List Table 3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3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3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6">
    <w:name w:val="List Table 4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4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4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3">
    <w:name w:val="List Table 5 Dark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50">
    <w:name w:val="List Table 6 Colorful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5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4"/>
      </w:rPr>
    </w:tblStylePr>
    <w:tblStylePr w:type="lastCol">
      <w:rPr>
        <w:b/>
        <w:color w:val="2A4A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4"/>
        <w:sz w:val="22"/>
      </w:rPr>
    </w:tblStylePr>
  </w:style>
  <w:style w:type="table" w:customStyle="1" w:styleId="15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896" w:themeColor="accent2" w:themeTint="96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896" w:themeColor="accent2" w:themeTint="96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896" w:themeColor="accent2" w:themeTint="96"/>
      </w:rPr>
    </w:tblStylePr>
    <w:tblStylePr w:type="lastCol">
      <w:rPr>
        <w:b/>
        <w:color w:val="D99896" w:themeColor="accent2" w:themeTint="96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896" w:themeColor="accent2" w:themeTint="96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896" w:themeColor="accent2" w:themeTint="96"/>
        <w:sz w:val="22"/>
      </w:rPr>
    </w:tblStylePr>
  </w:style>
  <w:style w:type="table" w:customStyle="1" w:styleId="15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2D69B" w:themeColor="accent3" w:themeTint="99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15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7" w:themeColor="accent4" w:themeTint="99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15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DDC" w:themeColor="accent5" w:themeTint="99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15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BF8F" w:themeColor="accent6" w:themeTint="99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157">
    <w:name w:val="List Table 7 Colorful"/>
    <w:basedOn w:val="3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E7E7E" w:themeColor="text1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Tint="80"/>
        <w:sz w:val="22"/>
      </w:rPr>
    </w:tblStylePr>
  </w:style>
  <w:style w:type="table" w:customStyle="1" w:styleId="15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4"/>
        <w:sz w:val="22"/>
      </w:rPr>
    </w:tblStylePr>
  </w:style>
  <w:style w:type="table" w:customStyle="1" w:styleId="15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896" w:themeColor="accent2" w:themeTint="96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896" w:themeColor="accent2" w:themeTint="96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896" w:themeColor="accent2" w:themeTint="96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896" w:themeColor="accent2" w:themeTint="96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896" w:themeColor="accent2" w:themeTint="96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896" w:themeColor="accent2" w:themeTint="96"/>
        <w:sz w:val="22"/>
      </w:rPr>
    </w:tblStylePr>
  </w:style>
  <w:style w:type="table" w:customStyle="1" w:styleId="16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16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16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16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164">
    <w:name w:val="Lined - Accent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65">
    <w:name w:val="Lined - Accent 1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6">
    <w:name w:val="Lined - Accent 2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7">
    <w:name w:val="Lined - Accent 3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8">
    <w:name w:val="Lined - Accent 4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9">
    <w:name w:val="Lined - Accent 5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0">
    <w:name w:val="Lined - Accent 6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1">
    <w:name w:val="Bordered &amp; Lined - Accent"/>
    <w:basedOn w:val="3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72">
    <w:name w:val="Bordered &amp; Lined - Accent 1"/>
    <w:basedOn w:val="3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3">
    <w:name w:val="Bordered &amp; Lined - Accent 2"/>
    <w:basedOn w:val="3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4">
    <w:name w:val="Bordered &amp; Lined - Accent 3"/>
    <w:basedOn w:val="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5">
    <w:name w:val="Bordered &amp; Lined - Accent 4"/>
    <w:basedOn w:val="3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6">
    <w:name w:val="Bordered &amp; Lined - Accent 5"/>
    <w:basedOn w:val="3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7">
    <w:name w:val="Bordered &amp; Lined - Accent 6"/>
    <w:basedOn w:val="3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8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8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8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5">
    <w:name w:val="Текст сноски Знак"/>
    <w:link w:val="8"/>
    <w:qFormat/>
    <w:uiPriority w:val="99"/>
    <w:rPr>
      <w:sz w:val="18"/>
    </w:rPr>
  </w:style>
  <w:style w:type="character" w:customStyle="1" w:styleId="186">
    <w:name w:val="Текст концевой сноски Знак"/>
    <w:link w:val="7"/>
    <w:qFormat/>
    <w:uiPriority w:val="99"/>
    <w:rPr>
      <w:sz w:val="20"/>
    </w:rPr>
  </w:style>
  <w:style w:type="paragraph" w:customStyle="1" w:styleId="187">
    <w:name w:val="Заголовок оглавления1"/>
    <w:unhideWhenUsed/>
    <w:qFormat/>
    <w:uiPriority w:val="39"/>
    <w:rPr>
      <w:rFonts w:ascii="Times New Roman" w:hAnsi="Times New Roman" w:eastAsia="SimSun" w:cs="Times New Roman"/>
      <w:lang w:val="ru-RU" w:eastAsia="ru-RU" w:bidi="ar-SA"/>
    </w:rPr>
  </w:style>
  <w:style w:type="paragraph" w:styleId="188">
    <w:name w:val="List Paragraph"/>
    <w:basedOn w:val="1"/>
    <w:qFormat/>
    <w:uiPriority w:val="34"/>
    <w:pPr>
      <w:ind w:left="720"/>
      <w:contextualSpacing/>
    </w:pPr>
  </w:style>
  <w:style w:type="character" w:customStyle="1" w:styleId="189">
    <w:name w:val="Основной текст с отступом Знак"/>
    <w:basedOn w:val="2"/>
    <w:link w:val="19"/>
    <w:qFormat/>
    <w:uiPriority w:val="0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DE03-8A44-4E99-BC28-AE729EA56E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5</Pages>
  <Words>1536</Words>
  <Characters>8756</Characters>
  <Lines>72</Lines>
  <Paragraphs>20</Paragraphs>
  <TotalTime>181</TotalTime>
  <ScaleCrop>false</ScaleCrop>
  <LinksUpToDate>false</LinksUpToDate>
  <CharactersWithSpaces>10272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2025-12-29T13:03:00Z</dcterms:created>
  <dc:creator>RePack by Diakov</dc:creator>
  <cp:lastModifiedBy>User</cp:lastModifiedBy>
  <cp:lastPrinted>2026-01-13T05:03:00Z</cp:lastPrinted>
  <dcterms:modified xsi:type="dcterms:W3CDTF">2026-02-17T13:49:14Z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3AC08B0ACB204C8B82B2C6B9B1D5B3CD_13</vt:lpwstr>
  </property>
</Properties>
</file>